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4110"/>
      </w:tblGrid>
      <w:tr w:rsidR="00E27E8E" w:rsidTr="00AD60AC">
        <w:trPr>
          <w:trHeight w:val="289"/>
        </w:trPr>
        <w:tc>
          <w:tcPr>
            <w:tcW w:w="1101" w:type="dxa"/>
          </w:tcPr>
          <w:p w:rsidR="00E27E8E" w:rsidRPr="0064282F" w:rsidRDefault="00E27E8E" w:rsidP="00E27E8E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E27E8E" w:rsidRPr="00392DA9" w:rsidRDefault="00E27E8E" w:rsidP="00E27E8E">
            <w:pPr>
              <w:pStyle w:val="Heading1"/>
              <w:rPr>
                <w:b w:val="0"/>
                <w:sz w:val="24"/>
                <w:szCs w:val="24"/>
              </w:rPr>
            </w:pPr>
          </w:p>
        </w:tc>
      </w:tr>
      <w:tr w:rsidR="00E27E8E" w:rsidTr="00AD60AC">
        <w:trPr>
          <w:trHeight w:val="289"/>
        </w:trPr>
        <w:tc>
          <w:tcPr>
            <w:tcW w:w="1101" w:type="dxa"/>
          </w:tcPr>
          <w:p w:rsidR="00E27E8E" w:rsidRPr="0064282F" w:rsidRDefault="00E27E8E" w:rsidP="00E27E8E">
            <w:pPr>
              <w:ind w:right="-108"/>
              <w:rPr>
                <w:sz w:val="20"/>
              </w:rPr>
            </w:pPr>
          </w:p>
        </w:tc>
        <w:tc>
          <w:tcPr>
            <w:tcW w:w="4110" w:type="dxa"/>
          </w:tcPr>
          <w:p w:rsidR="00E27E8E" w:rsidRDefault="00E27E8E" w:rsidP="00E27E8E">
            <w:pPr>
              <w:pStyle w:val="Heading1"/>
              <w:rPr>
                <w:b w:val="0"/>
                <w:sz w:val="24"/>
                <w:szCs w:val="24"/>
              </w:rPr>
            </w:pPr>
          </w:p>
        </w:tc>
      </w:tr>
      <w:tr w:rsidR="00E27E8E" w:rsidTr="00AD60AC">
        <w:trPr>
          <w:trHeight w:val="289"/>
        </w:trPr>
        <w:tc>
          <w:tcPr>
            <w:tcW w:w="5211" w:type="dxa"/>
            <w:gridSpan w:val="2"/>
          </w:tcPr>
          <w:p w:rsidR="00E27E8E" w:rsidRPr="00524396" w:rsidRDefault="00E27E8E" w:rsidP="00E27E8E">
            <w:pPr>
              <w:pStyle w:val="Heading1"/>
              <w:spacing w:after="100" w:afterAutospacing="1"/>
              <w:rPr>
                <w:b w:val="0"/>
              </w:rPr>
            </w:pPr>
          </w:p>
        </w:tc>
      </w:tr>
      <w:tr w:rsidR="00E27E8E" w:rsidTr="00AD60AC">
        <w:tc>
          <w:tcPr>
            <w:tcW w:w="5211" w:type="dxa"/>
            <w:gridSpan w:val="2"/>
            <w:tcBorders>
              <w:bottom w:val="nil"/>
            </w:tcBorders>
          </w:tcPr>
          <w:p w:rsidR="00E27E8E" w:rsidRPr="00524396" w:rsidRDefault="00E27E8E" w:rsidP="00E27E8E">
            <w:pPr>
              <w:spacing w:after="100" w:afterAutospacing="1"/>
              <w:rPr>
                <w:sz w:val="20"/>
              </w:rPr>
            </w:pPr>
            <w:r w:rsidRPr="00524396">
              <w:rPr>
                <w:sz w:val="20"/>
              </w:rPr>
              <w:t>If calling please ask fo</w:t>
            </w:r>
            <w:r>
              <w:rPr>
                <w:sz w:val="20"/>
              </w:rPr>
              <w:t>r:</w:t>
            </w:r>
            <w:r w:rsidR="008B5DC4">
              <w:rPr>
                <w:sz w:val="20"/>
              </w:rPr>
              <w:t xml:space="preserve"> Spencer Hunt</w:t>
            </w:r>
          </w:p>
        </w:tc>
      </w:tr>
      <w:tr w:rsidR="00E27E8E" w:rsidTr="00AD60AC">
        <w:tc>
          <w:tcPr>
            <w:tcW w:w="5211" w:type="dxa"/>
            <w:gridSpan w:val="2"/>
            <w:tcBorders>
              <w:top w:val="nil"/>
              <w:left w:val="nil"/>
              <w:bottom w:val="nil"/>
            </w:tcBorders>
          </w:tcPr>
          <w:p w:rsidR="00E27E8E" w:rsidRPr="00524396" w:rsidRDefault="00E27E8E" w:rsidP="00E27E8E">
            <w:pPr>
              <w:spacing w:after="100" w:afterAutospacing="1"/>
              <w:rPr>
                <w:sz w:val="20"/>
              </w:rPr>
            </w:pPr>
            <w:r w:rsidRPr="00524396">
              <w:rPr>
                <w:sz w:val="20"/>
              </w:rPr>
              <w:t>Direct line telephone number:</w:t>
            </w:r>
            <w:r w:rsidR="008B5DC4">
              <w:rPr>
                <w:sz w:val="20"/>
              </w:rPr>
              <w:t xml:space="preserve"> 01472</w:t>
            </w:r>
            <w:r w:rsidR="00615E09">
              <w:rPr>
                <w:sz w:val="20"/>
              </w:rPr>
              <w:t xml:space="preserve"> </w:t>
            </w:r>
            <w:r w:rsidR="008B5DC4">
              <w:rPr>
                <w:sz w:val="20"/>
              </w:rPr>
              <w:t>325939</w:t>
            </w:r>
          </w:p>
        </w:tc>
      </w:tr>
      <w:tr w:rsidR="00E27E8E" w:rsidTr="00AD60AC">
        <w:tc>
          <w:tcPr>
            <w:tcW w:w="5211" w:type="dxa"/>
            <w:gridSpan w:val="2"/>
            <w:tcBorders>
              <w:top w:val="nil"/>
              <w:left w:val="nil"/>
              <w:bottom w:val="nil"/>
            </w:tcBorders>
          </w:tcPr>
          <w:p w:rsidR="00E27E8E" w:rsidRPr="00D45269" w:rsidRDefault="00E27E8E" w:rsidP="00E27E8E">
            <w:pPr>
              <w:tabs>
                <w:tab w:val="left" w:pos="1440"/>
              </w:tabs>
              <w:suppressAutoHyphens/>
              <w:autoSpaceDE w:val="0"/>
              <w:autoSpaceDN w:val="0"/>
              <w:adjustRightInd w:val="0"/>
              <w:spacing w:after="100" w:afterAutospacing="1"/>
              <w:textAlignment w:val="center"/>
              <w:rPr>
                <w:rFonts w:cs="Arial"/>
                <w:bCs/>
                <w:color w:val="000000"/>
                <w:szCs w:val="24"/>
              </w:rPr>
            </w:pPr>
            <w:r w:rsidRPr="0064282F">
              <w:rPr>
                <w:sz w:val="20"/>
              </w:rPr>
              <w:t>Email:</w:t>
            </w:r>
            <w:r w:rsidR="00055815">
              <w:rPr>
                <w:sz w:val="20"/>
              </w:rPr>
              <w:t>spencer.hunt</w:t>
            </w:r>
            <w:r w:rsidR="008B5DC4">
              <w:rPr>
                <w:sz w:val="20"/>
              </w:rPr>
              <w:t>@nelincs.gov.uk</w:t>
            </w:r>
          </w:p>
        </w:tc>
      </w:tr>
    </w:tbl>
    <w:p w:rsidR="00E27E8E" w:rsidRPr="0078715A" w:rsidRDefault="00203AF4" w:rsidP="00E27E8E">
      <w:pPr>
        <w:ind w:right="-142"/>
        <w:jc w:val="right"/>
      </w:pPr>
      <w:r>
        <w:rPr>
          <w:rFonts w:cs="Arial"/>
          <w:bCs/>
          <w:noProof/>
          <w:szCs w:val="24"/>
        </w:rPr>
        <w:drawing>
          <wp:inline distT="0" distB="0" distL="0" distR="0">
            <wp:extent cx="1786255" cy="1743710"/>
            <wp:effectExtent l="0" t="0" r="4445" b="8890"/>
            <wp:docPr id="1" name="Picture 1" descr="nelc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lc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E8E" w:rsidRPr="0078715A" w:rsidRDefault="00E27E8E" w:rsidP="00E27E8E">
      <w:pPr>
        <w:pStyle w:val="Header"/>
        <w:jc w:val="right"/>
        <w:rPr>
          <w:sz w:val="18"/>
          <w:szCs w:val="18"/>
        </w:rPr>
      </w:pPr>
    </w:p>
    <w:p w:rsidR="00E27E8E" w:rsidRPr="0078715A" w:rsidRDefault="005F03F6" w:rsidP="00E27E8E">
      <w:pPr>
        <w:tabs>
          <w:tab w:val="left" w:pos="1635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13</w:t>
      </w:r>
      <w:r w:rsidRPr="005F03F6">
        <w:rPr>
          <w:rFonts w:cs="Arial"/>
          <w:bCs/>
          <w:szCs w:val="24"/>
          <w:vertAlign w:val="superscript"/>
        </w:rPr>
        <w:t>th</w:t>
      </w:r>
      <w:r>
        <w:rPr>
          <w:rFonts w:cs="Arial"/>
          <w:bCs/>
          <w:szCs w:val="24"/>
        </w:rPr>
        <w:t xml:space="preserve"> June 2017</w:t>
      </w:r>
    </w:p>
    <w:p w:rsidR="00E27E8E" w:rsidRPr="0078715A" w:rsidRDefault="00E27E8E" w:rsidP="00E27E8E">
      <w:pPr>
        <w:tabs>
          <w:tab w:val="left" w:pos="1440"/>
        </w:tabs>
        <w:suppressAutoHyphens/>
        <w:autoSpaceDE w:val="0"/>
        <w:autoSpaceDN w:val="0"/>
        <w:adjustRightInd w:val="0"/>
        <w:textAlignment w:val="center"/>
        <w:rPr>
          <w:rFonts w:cs="Arial"/>
          <w:bCs/>
          <w:szCs w:val="24"/>
        </w:rPr>
      </w:pPr>
    </w:p>
    <w:p w:rsidR="000C2F98" w:rsidRPr="0078715A" w:rsidRDefault="000C2F98" w:rsidP="00E27E8E">
      <w:pPr>
        <w:suppressAutoHyphens/>
        <w:autoSpaceDE w:val="0"/>
        <w:autoSpaceDN w:val="0"/>
        <w:adjustRightInd w:val="0"/>
        <w:textAlignment w:val="center"/>
        <w:rPr>
          <w:rFonts w:cs="Arial"/>
          <w:bCs/>
          <w:szCs w:val="24"/>
        </w:rPr>
      </w:pPr>
    </w:p>
    <w:p w:rsidR="00E27E8E" w:rsidRPr="0078715A" w:rsidRDefault="00E27E8E" w:rsidP="00E27E8E">
      <w:pPr>
        <w:suppressAutoHyphens/>
        <w:autoSpaceDE w:val="0"/>
        <w:autoSpaceDN w:val="0"/>
        <w:adjustRightInd w:val="0"/>
        <w:textAlignment w:val="center"/>
        <w:rPr>
          <w:rFonts w:cs="Arial"/>
          <w:bCs/>
          <w:szCs w:val="24"/>
        </w:rPr>
      </w:pPr>
    </w:p>
    <w:p w:rsidR="005A6312" w:rsidRDefault="00E27E8E" w:rsidP="00E27E8E">
      <w:pPr>
        <w:suppressAutoHyphens/>
        <w:autoSpaceDE w:val="0"/>
        <w:autoSpaceDN w:val="0"/>
        <w:adjustRightInd w:val="0"/>
        <w:jc w:val="center"/>
        <w:textAlignment w:val="center"/>
        <w:rPr>
          <w:rFonts w:cs="Arial"/>
          <w:b/>
          <w:bCs/>
          <w:szCs w:val="24"/>
          <w:u w:val="single"/>
        </w:rPr>
      </w:pPr>
      <w:r w:rsidRPr="0078715A">
        <w:rPr>
          <w:rFonts w:cs="Arial"/>
          <w:b/>
          <w:bCs/>
          <w:szCs w:val="24"/>
          <w:u w:val="single"/>
        </w:rPr>
        <w:t xml:space="preserve">North East Lincolnshire Council </w:t>
      </w:r>
      <w:r w:rsidR="00526789">
        <w:rPr>
          <w:rFonts w:cs="Arial"/>
          <w:b/>
          <w:bCs/>
          <w:szCs w:val="24"/>
          <w:u w:val="single"/>
        </w:rPr>
        <w:t>r</w:t>
      </w:r>
      <w:r w:rsidR="005A6312">
        <w:rPr>
          <w:rFonts w:cs="Arial"/>
          <w:b/>
          <w:bCs/>
          <w:szCs w:val="24"/>
          <w:u w:val="single"/>
        </w:rPr>
        <w:t xml:space="preserve">eview of the current </w:t>
      </w:r>
    </w:p>
    <w:p w:rsidR="00E27E8E" w:rsidRPr="0078715A" w:rsidRDefault="005A6312" w:rsidP="00E27E8E">
      <w:pPr>
        <w:suppressAutoHyphens/>
        <w:autoSpaceDE w:val="0"/>
        <w:autoSpaceDN w:val="0"/>
        <w:adjustRightInd w:val="0"/>
        <w:jc w:val="center"/>
        <w:textAlignment w:val="center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Public Space Protection Order (PSPO)</w:t>
      </w:r>
    </w:p>
    <w:p w:rsidR="00E27E8E" w:rsidRDefault="00E27E8E" w:rsidP="00E27E8E">
      <w:pPr>
        <w:tabs>
          <w:tab w:val="left" w:pos="1440"/>
        </w:tabs>
        <w:suppressAutoHyphens/>
        <w:autoSpaceDE w:val="0"/>
        <w:autoSpaceDN w:val="0"/>
        <w:adjustRightInd w:val="0"/>
        <w:textAlignment w:val="center"/>
        <w:rPr>
          <w:rFonts w:cs="Arial"/>
          <w:bCs/>
          <w:szCs w:val="24"/>
        </w:rPr>
      </w:pPr>
    </w:p>
    <w:p w:rsidR="000C2F98" w:rsidRPr="0078715A" w:rsidRDefault="000C2F98" w:rsidP="00E27E8E">
      <w:pPr>
        <w:tabs>
          <w:tab w:val="left" w:pos="1440"/>
        </w:tabs>
        <w:suppressAutoHyphens/>
        <w:autoSpaceDE w:val="0"/>
        <w:autoSpaceDN w:val="0"/>
        <w:adjustRightInd w:val="0"/>
        <w:textAlignment w:val="center"/>
        <w:rPr>
          <w:rFonts w:cs="Arial"/>
          <w:bCs/>
          <w:szCs w:val="24"/>
        </w:rPr>
      </w:pPr>
    </w:p>
    <w:p w:rsidR="000C2F98" w:rsidRDefault="00E27E8E" w:rsidP="00E27E8E">
      <w:pPr>
        <w:tabs>
          <w:tab w:val="left" w:pos="1440"/>
        </w:tabs>
        <w:suppressAutoHyphens/>
        <w:autoSpaceDE w:val="0"/>
        <w:autoSpaceDN w:val="0"/>
        <w:adjustRightInd w:val="0"/>
        <w:jc w:val="both"/>
        <w:textAlignment w:val="center"/>
        <w:rPr>
          <w:rFonts w:cs="Arial"/>
          <w:bCs/>
          <w:szCs w:val="24"/>
        </w:rPr>
      </w:pPr>
      <w:r w:rsidRPr="0078715A">
        <w:rPr>
          <w:rFonts w:cs="Arial"/>
          <w:bCs/>
          <w:szCs w:val="24"/>
        </w:rPr>
        <w:t xml:space="preserve">I am writing </w:t>
      </w:r>
      <w:r w:rsidR="00986E4C">
        <w:rPr>
          <w:rFonts w:cs="Arial"/>
          <w:bCs/>
          <w:szCs w:val="24"/>
        </w:rPr>
        <w:t>with regard to a review of the current Public Space Protection Order (PSPO)</w:t>
      </w:r>
      <w:r w:rsidR="000C2F98">
        <w:rPr>
          <w:rFonts w:cs="Arial"/>
          <w:bCs/>
          <w:szCs w:val="24"/>
        </w:rPr>
        <w:t xml:space="preserve"> which restricts the consumption of alcohol in public places</w:t>
      </w:r>
      <w:r w:rsidR="00986E4C">
        <w:rPr>
          <w:rFonts w:cs="Arial"/>
          <w:bCs/>
          <w:szCs w:val="24"/>
        </w:rPr>
        <w:t xml:space="preserve">. Our current PSPO </w:t>
      </w:r>
      <w:r w:rsidR="00D93EEB">
        <w:rPr>
          <w:rFonts w:cs="Arial"/>
          <w:bCs/>
          <w:szCs w:val="24"/>
        </w:rPr>
        <w:t>expires</w:t>
      </w:r>
      <w:r w:rsidR="000C2F98">
        <w:rPr>
          <w:rFonts w:cs="Arial"/>
          <w:bCs/>
          <w:szCs w:val="24"/>
        </w:rPr>
        <w:t xml:space="preserve"> in</w:t>
      </w:r>
      <w:r w:rsidR="00D93EEB">
        <w:rPr>
          <w:rFonts w:cs="Arial"/>
          <w:bCs/>
          <w:szCs w:val="24"/>
        </w:rPr>
        <w:t xml:space="preserve"> October 2017 and </w:t>
      </w:r>
      <w:r w:rsidR="00986E4C">
        <w:rPr>
          <w:rFonts w:cs="Arial"/>
          <w:bCs/>
          <w:szCs w:val="24"/>
        </w:rPr>
        <w:t xml:space="preserve">covers the wards of  </w:t>
      </w:r>
      <w:r w:rsidR="00D93EEB">
        <w:rPr>
          <w:rFonts w:cs="Arial"/>
          <w:bCs/>
          <w:szCs w:val="24"/>
        </w:rPr>
        <w:t>West Marsh, East Marsh, Park, Heneage, Sidney Sussex, Cro</w:t>
      </w:r>
      <w:r w:rsidR="000C2F98">
        <w:rPr>
          <w:rFonts w:cs="Arial"/>
          <w:bCs/>
          <w:szCs w:val="24"/>
        </w:rPr>
        <w:t xml:space="preserve">ft Baker and South. </w:t>
      </w:r>
    </w:p>
    <w:p w:rsidR="000C2F98" w:rsidRDefault="000C2F98" w:rsidP="00E27E8E">
      <w:pPr>
        <w:tabs>
          <w:tab w:val="left" w:pos="1440"/>
        </w:tabs>
        <w:suppressAutoHyphens/>
        <w:autoSpaceDE w:val="0"/>
        <w:autoSpaceDN w:val="0"/>
        <w:adjustRightInd w:val="0"/>
        <w:jc w:val="both"/>
        <w:textAlignment w:val="center"/>
        <w:rPr>
          <w:rFonts w:cs="Arial"/>
          <w:bCs/>
          <w:szCs w:val="24"/>
        </w:rPr>
      </w:pPr>
    </w:p>
    <w:p w:rsidR="000C2F98" w:rsidRPr="0078715A" w:rsidRDefault="000C2F98" w:rsidP="000C2F98">
      <w:pPr>
        <w:tabs>
          <w:tab w:val="left" w:pos="1635"/>
        </w:tabs>
        <w:jc w:val="both"/>
        <w:rPr>
          <w:rFonts w:cs="Arial"/>
          <w:bCs/>
          <w:szCs w:val="24"/>
        </w:rPr>
      </w:pPr>
      <w:r w:rsidRPr="0078715A">
        <w:rPr>
          <w:rFonts w:cs="Arial"/>
          <w:bCs/>
          <w:szCs w:val="24"/>
        </w:rPr>
        <w:t xml:space="preserve">Whilst it is </w:t>
      </w:r>
      <w:r w:rsidRPr="0000737D">
        <w:rPr>
          <w:rFonts w:cs="Arial"/>
          <w:bCs/>
          <w:szCs w:val="24"/>
        </w:rPr>
        <w:t>not an offence</w:t>
      </w:r>
      <w:r w:rsidRPr="0078715A">
        <w:rPr>
          <w:rFonts w:cs="Arial"/>
          <w:bCs/>
          <w:szCs w:val="24"/>
        </w:rPr>
        <w:t xml:space="preserve"> to consume alcohol within a </w:t>
      </w:r>
      <w:r>
        <w:rPr>
          <w:rFonts w:cs="Arial"/>
          <w:bCs/>
          <w:szCs w:val="24"/>
        </w:rPr>
        <w:t>PSPO</w:t>
      </w:r>
      <w:r w:rsidRPr="0078715A">
        <w:rPr>
          <w:rFonts w:cs="Arial"/>
          <w:bCs/>
          <w:szCs w:val="24"/>
        </w:rPr>
        <w:t xml:space="preserve"> area, the Police have powers to control the consumption of alcohol within that place.</w:t>
      </w:r>
      <w:r w:rsidRPr="0078715A">
        <w:t xml:space="preserve"> </w:t>
      </w:r>
      <w:r w:rsidRPr="0078715A">
        <w:rPr>
          <w:rFonts w:cs="Arial"/>
          <w:bCs/>
          <w:szCs w:val="24"/>
        </w:rPr>
        <w:t>If they believe someone is consuming alcohol or intends to consume alcohol they can:</w:t>
      </w:r>
    </w:p>
    <w:p w:rsidR="000C2F98" w:rsidRPr="0078715A" w:rsidRDefault="000C2F98" w:rsidP="000C2F98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0C2F98" w:rsidRPr="0078715A" w:rsidRDefault="000C2F98" w:rsidP="000C2F98">
      <w:pPr>
        <w:numPr>
          <w:ilvl w:val="0"/>
          <w:numId w:val="8"/>
        </w:numPr>
        <w:tabs>
          <w:tab w:val="left" w:pos="1635"/>
        </w:tabs>
        <w:jc w:val="both"/>
        <w:rPr>
          <w:rFonts w:cs="Arial"/>
          <w:bCs/>
          <w:szCs w:val="24"/>
        </w:rPr>
      </w:pPr>
      <w:r w:rsidRPr="0078715A">
        <w:rPr>
          <w:rFonts w:cs="Arial"/>
          <w:bCs/>
          <w:szCs w:val="24"/>
        </w:rPr>
        <w:t>require them to stop; and</w:t>
      </w:r>
    </w:p>
    <w:p w:rsidR="000C2F98" w:rsidRPr="0078715A" w:rsidRDefault="000C2F98" w:rsidP="000C2F98">
      <w:pPr>
        <w:numPr>
          <w:ilvl w:val="0"/>
          <w:numId w:val="8"/>
        </w:numPr>
        <w:tabs>
          <w:tab w:val="left" w:pos="1635"/>
        </w:tabs>
        <w:jc w:val="both"/>
        <w:rPr>
          <w:rFonts w:cs="Arial"/>
          <w:bCs/>
          <w:szCs w:val="24"/>
        </w:rPr>
      </w:pPr>
      <w:r w:rsidRPr="0078715A">
        <w:rPr>
          <w:rFonts w:cs="Arial"/>
          <w:bCs/>
          <w:szCs w:val="24"/>
        </w:rPr>
        <w:t>confiscate the alcohol from people</w:t>
      </w:r>
    </w:p>
    <w:p w:rsidR="000C2F98" w:rsidRPr="00460E26" w:rsidRDefault="000C2F98" w:rsidP="000C2F98">
      <w:pPr>
        <w:tabs>
          <w:tab w:val="left" w:pos="1635"/>
        </w:tabs>
        <w:ind w:left="720"/>
        <w:jc w:val="both"/>
        <w:rPr>
          <w:rFonts w:cs="Arial"/>
          <w:bCs/>
          <w:color w:val="FF0000"/>
          <w:szCs w:val="24"/>
        </w:rPr>
      </w:pPr>
    </w:p>
    <w:p w:rsidR="000C2F98" w:rsidRPr="00460E26" w:rsidRDefault="000C2F98" w:rsidP="000C2F98">
      <w:pPr>
        <w:tabs>
          <w:tab w:val="left" w:pos="1635"/>
        </w:tabs>
        <w:jc w:val="both"/>
        <w:rPr>
          <w:rFonts w:cs="Arial"/>
          <w:bCs/>
          <w:color w:val="FF0000"/>
          <w:szCs w:val="24"/>
        </w:rPr>
      </w:pPr>
      <w:r w:rsidRPr="00B2615E">
        <w:rPr>
          <w:rFonts w:cs="Arial"/>
          <w:bCs/>
          <w:szCs w:val="24"/>
        </w:rPr>
        <w:t xml:space="preserve">If someone, without a reasonable excuse, fails to comply with the officer's request they are committing an offence which can result in a penalty notice or a </w:t>
      </w:r>
      <w:r w:rsidRPr="003705F5">
        <w:rPr>
          <w:rFonts w:cs="Arial"/>
          <w:bCs/>
          <w:szCs w:val="24"/>
        </w:rPr>
        <w:t xml:space="preserve">fine. </w:t>
      </w:r>
    </w:p>
    <w:p w:rsidR="000C2F98" w:rsidRDefault="000C2F98" w:rsidP="00E27E8E">
      <w:pPr>
        <w:tabs>
          <w:tab w:val="left" w:pos="1440"/>
        </w:tabs>
        <w:suppressAutoHyphens/>
        <w:autoSpaceDE w:val="0"/>
        <w:autoSpaceDN w:val="0"/>
        <w:adjustRightInd w:val="0"/>
        <w:jc w:val="both"/>
        <w:textAlignment w:val="center"/>
        <w:rPr>
          <w:rFonts w:cs="Arial"/>
          <w:bCs/>
          <w:szCs w:val="24"/>
        </w:rPr>
      </w:pPr>
    </w:p>
    <w:p w:rsidR="00E27E8E" w:rsidRPr="0078715A" w:rsidRDefault="000C2F98" w:rsidP="00E27E8E">
      <w:pPr>
        <w:tabs>
          <w:tab w:val="left" w:pos="1440"/>
        </w:tabs>
        <w:suppressAutoHyphens/>
        <w:autoSpaceDE w:val="0"/>
        <w:autoSpaceDN w:val="0"/>
        <w:adjustRightInd w:val="0"/>
        <w:jc w:val="both"/>
        <w:textAlignment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The</w:t>
      </w:r>
      <w:r w:rsidR="00D93EEB">
        <w:rPr>
          <w:rFonts w:cs="Arial"/>
          <w:bCs/>
          <w:szCs w:val="24"/>
        </w:rPr>
        <w:t xml:space="preserve"> following</w:t>
      </w:r>
      <w:r w:rsidR="00526789">
        <w:rPr>
          <w:rFonts w:cs="Arial"/>
          <w:bCs/>
          <w:szCs w:val="24"/>
        </w:rPr>
        <w:t xml:space="preserve"> four</w:t>
      </w:r>
      <w:r w:rsidR="00D93EEB">
        <w:rPr>
          <w:rFonts w:cs="Arial"/>
          <w:bCs/>
          <w:szCs w:val="24"/>
        </w:rPr>
        <w:t xml:space="preserve"> options</w:t>
      </w:r>
      <w:r>
        <w:rPr>
          <w:rFonts w:cs="Arial"/>
          <w:bCs/>
          <w:szCs w:val="24"/>
        </w:rPr>
        <w:t xml:space="preserve"> are proposed</w:t>
      </w:r>
      <w:r w:rsidR="00D93EEB">
        <w:rPr>
          <w:rFonts w:cs="Arial"/>
          <w:bCs/>
          <w:szCs w:val="24"/>
        </w:rPr>
        <w:t xml:space="preserve">: </w:t>
      </w:r>
    </w:p>
    <w:p w:rsidR="00E27E8E" w:rsidRDefault="00E27E8E" w:rsidP="00E27E8E">
      <w:pPr>
        <w:tabs>
          <w:tab w:val="left" w:pos="1635"/>
        </w:tabs>
        <w:rPr>
          <w:rFonts w:cs="Arial"/>
          <w:bCs/>
          <w:szCs w:val="24"/>
        </w:rPr>
      </w:pPr>
    </w:p>
    <w:p w:rsidR="00055815" w:rsidRPr="0078715A" w:rsidRDefault="00055815" w:rsidP="00E27E8E">
      <w:pPr>
        <w:tabs>
          <w:tab w:val="left" w:pos="1635"/>
        </w:tabs>
        <w:rPr>
          <w:rFonts w:cs="Arial"/>
          <w:bCs/>
          <w:szCs w:val="24"/>
        </w:rPr>
      </w:pPr>
    </w:p>
    <w:p w:rsidR="00D93EEB" w:rsidRDefault="000C2F98" w:rsidP="00D93EEB">
      <w:pPr>
        <w:numPr>
          <w:ilvl w:val="0"/>
          <w:numId w:val="7"/>
        </w:numPr>
        <w:tabs>
          <w:tab w:val="left" w:pos="1635"/>
        </w:tabs>
        <w:jc w:val="both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 xml:space="preserve">That the </w:t>
      </w:r>
      <w:r w:rsidR="00D93EEB">
        <w:rPr>
          <w:rFonts w:cs="Arial"/>
          <w:bCs/>
          <w:i/>
          <w:szCs w:val="24"/>
        </w:rPr>
        <w:t>PSPO</w:t>
      </w:r>
      <w:r>
        <w:rPr>
          <w:rFonts w:cs="Arial"/>
          <w:bCs/>
          <w:i/>
          <w:szCs w:val="24"/>
        </w:rPr>
        <w:t xml:space="preserve"> be retained in its current format</w:t>
      </w:r>
      <w:r w:rsidR="00D93EEB">
        <w:rPr>
          <w:rFonts w:cs="Arial"/>
          <w:bCs/>
          <w:i/>
          <w:szCs w:val="24"/>
        </w:rPr>
        <w:t xml:space="preserve">. </w:t>
      </w:r>
    </w:p>
    <w:p w:rsidR="00E27E8E" w:rsidRPr="0078715A" w:rsidRDefault="00E27E8E" w:rsidP="00D93EEB">
      <w:pPr>
        <w:tabs>
          <w:tab w:val="left" w:pos="1635"/>
        </w:tabs>
        <w:jc w:val="both"/>
        <w:rPr>
          <w:rFonts w:cs="Arial"/>
          <w:bCs/>
          <w:i/>
          <w:szCs w:val="24"/>
        </w:rPr>
      </w:pPr>
      <w:r w:rsidRPr="0078715A">
        <w:rPr>
          <w:rFonts w:cs="Arial"/>
          <w:bCs/>
          <w:i/>
          <w:szCs w:val="24"/>
        </w:rPr>
        <w:t xml:space="preserve"> </w:t>
      </w:r>
    </w:p>
    <w:p w:rsidR="00D93EEB" w:rsidRDefault="000C2F98" w:rsidP="00615E09">
      <w:pPr>
        <w:numPr>
          <w:ilvl w:val="0"/>
          <w:numId w:val="7"/>
        </w:numPr>
        <w:tabs>
          <w:tab w:val="left" w:pos="1635"/>
        </w:tabs>
        <w:ind w:left="1701" w:hanging="1341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That the geographical boundaries of the PSPO be reduced,</w:t>
      </w:r>
      <w:r w:rsidR="00D93EEB">
        <w:rPr>
          <w:rFonts w:cs="Arial"/>
          <w:bCs/>
          <w:i/>
          <w:szCs w:val="24"/>
        </w:rPr>
        <w:t xml:space="preserve"> namely </w:t>
      </w:r>
      <w:r w:rsidR="005F03F6">
        <w:rPr>
          <w:rFonts w:cs="Arial"/>
          <w:bCs/>
          <w:i/>
          <w:szCs w:val="24"/>
        </w:rPr>
        <w:t>to correspond to the Cumulative Impact Zone (CIZ) areas within the high demand</w:t>
      </w:r>
      <w:r w:rsidR="00615E09">
        <w:rPr>
          <w:rFonts w:cs="Arial"/>
          <w:bCs/>
          <w:i/>
          <w:szCs w:val="24"/>
        </w:rPr>
        <w:t xml:space="preserve"> </w:t>
      </w:r>
      <w:r w:rsidR="005F03F6">
        <w:rPr>
          <w:rFonts w:cs="Arial"/>
          <w:bCs/>
          <w:i/>
          <w:szCs w:val="24"/>
        </w:rPr>
        <w:t>wards</w:t>
      </w:r>
      <w:r w:rsidR="00615E09">
        <w:rPr>
          <w:rFonts w:cs="Arial"/>
          <w:bCs/>
          <w:i/>
          <w:szCs w:val="24"/>
        </w:rPr>
        <w:t xml:space="preserve"> (</w:t>
      </w:r>
      <w:r w:rsidR="00615E09" w:rsidRPr="00615E09">
        <w:rPr>
          <w:rFonts w:cs="Arial"/>
          <w:bCs/>
          <w:i/>
          <w:szCs w:val="24"/>
        </w:rPr>
        <w:t>https://www.nelincs.gov.uk/wp-content/uploads/2016/01/Statement-of-Licensing-Policy-2015-2020.pdf</w:t>
      </w:r>
      <w:r w:rsidR="00615E09">
        <w:rPr>
          <w:rFonts w:cs="Arial"/>
          <w:bCs/>
          <w:i/>
          <w:szCs w:val="24"/>
        </w:rPr>
        <w:t>)</w:t>
      </w:r>
    </w:p>
    <w:p w:rsidR="000C2F98" w:rsidRDefault="000C2F98" w:rsidP="000C2F98">
      <w:pPr>
        <w:pStyle w:val="ListParagraph"/>
        <w:rPr>
          <w:rFonts w:cs="Arial"/>
          <w:bCs/>
          <w:i/>
          <w:szCs w:val="24"/>
        </w:rPr>
      </w:pPr>
    </w:p>
    <w:p w:rsidR="000C2F98" w:rsidRDefault="000C2F98" w:rsidP="00D93EEB">
      <w:pPr>
        <w:numPr>
          <w:ilvl w:val="0"/>
          <w:numId w:val="7"/>
        </w:numPr>
        <w:tabs>
          <w:tab w:val="left" w:pos="1635"/>
        </w:tabs>
        <w:jc w:val="both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That the terms or prohibitions be amended.</w:t>
      </w:r>
    </w:p>
    <w:p w:rsidR="00D93EEB" w:rsidRDefault="00D93EEB" w:rsidP="00D93EEB">
      <w:pPr>
        <w:pStyle w:val="ListParagraph"/>
        <w:rPr>
          <w:rFonts w:cs="Arial"/>
          <w:bCs/>
          <w:i/>
          <w:szCs w:val="24"/>
        </w:rPr>
      </w:pPr>
    </w:p>
    <w:p w:rsidR="00E27E8E" w:rsidRPr="0078715A" w:rsidRDefault="000C2F98" w:rsidP="00D93EEB">
      <w:pPr>
        <w:numPr>
          <w:ilvl w:val="0"/>
          <w:numId w:val="7"/>
        </w:numPr>
        <w:tabs>
          <w:tab w:val="left" w:pos="1635"/>
        </w:tabs>
        <w:jc w:val="both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That the PSPO be discharged.</w:t>
      </w:r>
      <w:r w:rsidR="00D93EEB">
        <w:rPr>
          <w:rFonts w:cs="Arial"/>
          <w:bCs/>
          <w:i/>
          <w:szCs w:val="24"/>
        </w:rPr>
        <w:t xml:space="preserve"> </w:t>
      </w:r>
    </w:p>
    <w:p w:rsidR="00E27E8E" w:rsidRDefault="00E27E8E" w:rsidP="00E27E8E">
      <w:pPr>
        <w:tabs>
          <w:tab w:val="left" w:pos="1635"/>
        </w:tabs>
        <w:jc w:val="both"/>
        <w:rPr>
          <w:rFonts w:cs="Arial"/>
          <w:bCs/>
          <w:i/>
          <w:szCs w:val="24"/>
        </w:rPr>
      </w:pPr>
    </w:p>
    <w:p w:rsidR="00E27E8E" w:rsidRPr="0078715A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  <w:r w:rsidRPr="0078715A">
        <w:rPr>
          <w:rFonts w:cs="Arial"/>
          <w:bCs/>
          <w:szCs w:val="24"/>
        </w:rPr>
        <w:t xml:space="preserve">The purpose of this letter is to provide you or your organisation with an opportunity to express your views on the </w:t>
      </w:r>
      <w:r w:rsidR="007A73A3">
        <w:rPr>
          <w:rFonts w:cs="Arial"/>
          <w:bCs/>
          <w:szCs w:val="24"/>
        </w:rPr>
        <w:t xml:space="preserve">above options. </w:t>
      </w:r>
      <w:r w:rsidRPr="0078715A">
        <w:rPr>
          <w:rFonts w:cs="Arial"/>
          <w:bCs/>
          <w:szCs w:val="24"/>
        </w:rPr>
        <w:t>As such this is an opportunity for you to be consulted and</w:t>
      </w:r>
      <w:r w:rsidR="000C2F98">
        <w:rPr>
          <w:rFonts w:cs="Arial"/>
          <w:bCs/>
          <w:szCs w:val="24"/>
        </w:rPr>
        <w:t xml:space="preserve"> for</w:t>
      </w:r>
      <w:r w:rsidRPr="0078715A">
        <w:rPr>
          <w:rFonts w:cs="Arial"/>
          <w:bCs/>
          <w:szCs w:val="24"/>
        </w:rPr>
        <w:t xml:space="preserve"> the views you express, along with those submitted by other interested parties,</w:t>
      </w:r>
      <w:r w:rsidR="000C2F98">
        <w:rPr>
          <w:rFonts w:cs="Arial"/>
          <w:bCs/>
          <w:szCs w:val="24"/>
        </w:rPr>
        <w:t xml:space="preserve"> to</w:t>
      </w:r>
      <w:r w:rsidRPr="0078715A">
        <w:rPr>
          <w:rFonts w:cs="Arial"/>
          <w:bCs/>
          <w:szCs w:val="24"/>
        </w:rPr>
        <w:t xml:space="preserve"> </w:t>
      </w:r>
      <w:r w:rsidR="003705F5">
        <w:rPr>
          <w:rFonts w:cs="Arial"/>
          <w:bCs/>
          <w:szCs w:val="24"/>
        </w:rPr>
        <w:t xml:space="preserve">be </w:t>
      </w:r>
      <w:r w:rsidR="007A73A3">
        <w:rPr>
          <w:rFonts w:cs="Arial"/>
          <w:bCs/>
          <w:szCs w:val="24"/>
        </w:rPr>
        <w:t>taken into account in any</w:t>
      </w:r>
      <w:r w:rsidRPr="0078715A">
        <w:rPr>
          <w:rFonts w:cs="Arial"/>
          <w:bCs/>
          <w:szCs w:val="24"/>
        </w:rPr>
        <w:t xml:space="preserve"> decisions </w:t>
      </w:r>
      <w:r w:rsidR="007A73A3">
        <w:rPr>
          <w:rFonts w:cs="Arial"/>
          <w:bCs/>
          <w:szCs w:val="24"/>
        </w:rPr>
        <w:t xml:space="preserve">made. </w:t>
      </w:r>
    </w:p>
    <w:p w:rsidR="00E27E8E" w:rsidRPr="00460E26" w:rsidRDefault="00E27E8E" w:rsidP="00E27E8E">
      <w:pPr>
        <w:tabs>
          <w:tab w:val="left" w:pos="1635"/>
        </w:tabs>
        <w:jc w:val="both"/>
        <w:rPr>
          <w:rFonts w:cs="Arial"/>
          <w:bCs/>
          <w:color w:val="FF0000"/>
          <w:szCs w:val="24"/>
        </w:rPr>
      </w:pPr>
    </w:p>
    <w:p w:rsidR="00E27E8E" w:rsidRPr="00216FD5" w:rsidRDefault="007A73A3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lastRenderedPageBreak/>
        <w:t>W</w:t>
      </w:r>
      <w:r w:rsidR="00E27E8E" w:rsidRPr="00216FD5">
        <w:rPr>
          <w:rFonts w:cs="Arial"/>
          <w:bCs/>
          <w:szCs w:val="24"/>
        </w:rPr>
        <w:t xml:space="preserve">e are asking that you consider </w:t>
      </w:r>
      <w:r w:rsidR="00333917">
        <w:rPr>
          <w:rFonts w:cs="Arial"/>
          <w:bCs/>
          <w:szCs w:val="24"/>
        </w:rPr>
        <w:t xml:space="preserve">which of the above options you would support </w:t>
      </w:r>
      <w:r w:rsidR="00E27E8E" w:rsidRPr="00216FD5">
        <w:rPr>
          <w:rFonts w:cs="Arial"/>
          <w:bCs/>
          <w:szCs w:val="24"/>
        </w:rPr>
        <w:t>and provide any representation</w:t>
      </w:r>
      <w:r w:rsidR="000C2F98">
        <w:rPr>
          <w:rFonts w:cs="Arial"/>
          <w:bCs/>
          <w:szCs w:val="24"/>
        </w:rPr>
        <w:t xml:space="preserve"> or </w:t>
      </w:r>
      <w:r w:rsidR="00E27E8E" w:rsidRPr="00216FD5">
        <w:rPr>
          <w:rFonts w:cs="Arial"/>
          <w:bCs/>
          <w:szCs w:val="24"/>
        </w:rPr>
        <w:t xml:space="preserve">feedback </w:t>
      </w:r>
      <w:r w:rsidR="00E27E8E" w:rsidRPr="000C2F98">
        <w:rPr>
          <w:rFonts w:cs="Arial"/>
          <w:bCs/>
          <w:szCs w:val="24"/>
        </w:rPr>
        <w:t xml:space="preserve">by </w:t>
      </w:r>
      <w:r w:rsidR="000C2F98" w:rsidRPr="005F03F6">
        <w:rPr>
          <w:rFonts w:cs="Arial"/>
          <w:b/>
          <w:bCs/>
          <w:szCs w:val="24"/>
        </w:rPr>
        <w:t>31</w:t>
      </w:r>
      <w:r w:rsidR="000C2F98" w:rsidRPr="005F03F6">
        <w:rPr>
          <w:rFonts w:cs="Arial"/>
          <w:b/>
          <w:bCs/>
          <w:szCs w:val="24"/>
          <w:vertAlign w:val="superscript"/>
        </w:rPr>
        <w:t>st</w:t>
      </w:r>
      <w:r w:rsidR="000C2F98" w:rsidRPr="005F03F6">
        <w:rPr>
          <w:rFonts w:cs="Arial"/>
          <w:b/>
          <w:bCs/>
          <w:szCs w:val="24"/>
        </w:rPr>
        <w:t xml:space="preserve"> July 2017</w:t>
      </w:r>
      <w:r w:rsidR="00E27E8E" w:rsidRPr="005F03F6">
        <w:rPr>
          <w:rFonts w:cs="Arial"/>
          <w:bCs/>
          <w:szCs w:val="24"/>
        </w:rPr>
        <w:t>.</w:t>
      </w:r>
      <w:r w:rsidR="00E27E8E" w:rsidRPr="00216FD5">
        <w:rPr>
          <w:rFonts w:cs="Arial"/>
          <w:bCs/>
          <w:szCs w:val="24"/>
        </w:rPr>
        <w:t xml:space="preserve"> </w:t>
      </w:r>
    </w:p>
    <w:p w:rsidR="00E27E8E" w:rsidRPr="00460E26" w:rsidRDefault="00E27E8E" w:rsidP="00E27E8E">
      <w:pPr>
        <w:tabs>
          <w:tab w:val="left" w:pos="1635"/>
        </w:tabs>
        <w:jc w:val="both"/>
        <w:rPr>
          <w:rFonts w:cs="Arial"/>
          <w:bCs/>
          <w:color w:val="FF0000"/>
          <w:szCs w:val="24"/>
        </w:rPr>
      </w:pPr>
    </w:p>
    <w:p w:rsidR="00E27E8E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  <w:r w:rsidRPr="00301DE4">
        <w:rPr>
          <w:rFonts w:cs="Arial"/>
          <w:bCs/>
          <w:szCs w:val="24"/>
        </w:rPr>
        <w:t>When considering your response I would be grateful if you could provide</w:t>
      </w:r>
      <w:r w:rsidR="000C2F98">
        <w:rPr>
          <w:rFonts w:cs="Arial"/>
          <w:bCs/>
          <w:szCs w:val="24"/>
        </w:rPr>
        <w:t>,</w:t>
      </w:r>
      <w:r w:rsidRPr="00301DE4">
        <w:rPr>
          <w:rFonts w:cs="Arial"/>
          <w:bCs/>
          <w:szCs w:val="24"/>
        </w:rPr>
        <w:t xml:space="preserve"> where possible</w:t>
      </w:r>
      <w:r w:rsidR="000C2F98">
        <w:rPr>
          <w:rFonts w:cs="Arial"/>
          <w:bCs/>
          <w:szCs w:val="24"/>
        </w:rPr>
        <w:t>,</w:t>
      </w:r>
      <w:r w:rsidRPr="00301DE4">
        <w:rPr>
          <w:rFonts w:cs="Arial"/>
          <w:bCs/>
          <w:szCs w:val="24"/>
        </w:rPr>
        <w:t xml:space="preserve"> any evidence you have to su</w:t>
      </w:r>
      <w:r w:rsidR="000C2F98">
        <w:rPr>
          <w:rFonts w:cs="Arial"/>
          <w:bCs/>
          <w:szCs w:val="24"/>
        </w:rPr>
        <w:t>pport your representations so that we</w:t>
      </w:r>
      <w:r w:rsidRPr="00301DE4">
        <w:rPr>
          <w:rFonts w:cs="Arial"/>
          <w:bCs/>
          <w:szCs w:val="24"/>
        </w:rPr>
        <w:t xml:space="preserve"> can take this into consideration before making a final decision.</w:t>
      </w:r>
    </w:p>
    <w:p w:rsidR="00012080" w:rsidRDefault="00012080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012080" w:rsidRPr="008B5DC4" w:rsidRDefault="00A77498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  <w:r w:rsidRPr="008B5DC4">
        <w:rPr>
          <w:rFonts w:cs="Arial"/>
          <w:bCs/>
          <w:szCs w:val="24"/>
        </w:rPr>
        <w:t>It is anticipated that a decision w</w:t>
      </w:r>
      <w:r w:rsidR="0000737D">
        <w:rPr>
          <w:rFonts w:cs="Arial"/>
          <w:bCs/>
          <w:szCs w:val="24"/>
        </w:rPr>
        <w:t>ill be made by</w:t>
      </w:r>
      <w:r w:rsidR="000C2F98">
        <w:rPr>
          <w:rFonts w:cs="Arial"/>
          <w:bCs/>
          <w:szCs w:val="24"/>
        </w:rPr>
        <w:t xml:space="preserve"> the</w:t>
      </w:r>
      <w:r w:rsidR="0000737D">
        <w:rPr>
          <w:rFonts w:cs="Arial"/>
          <w:bCs/>
          <w:szCs w:val="24"/>
        </w:rPr>
        <w:t xml:space="preserve"> </w:t>
      </w:r>
      <w:r w:rsidR="000C2F98">
        <w:rPr>
          <w:rFonts w:cs="Arial"/>
          <w:bCs/>
          <w:szCs w:val="24"/>
        </w:rPr>
        <w:t>c</w:t>
      </w:r>
      <w:r w:rsidR="0000737D">
        <w:rPr>
          <w:rFonts w:cs="Arial"/>
          <w:bCs/>
          <w:szCs w:val="24"/>
        </w:rPr>
        <w:t xml:space="preserve">ouncil following consideration of </w:t>
      </w:r>
      <w:r w:rsidRPr="008B5DC4">
        <w:rPr>
          <w:rFonts w:cs="Arial"/>
          <w:bCs/>
          <w:szCs w:val="24"/>
        </w:rPr>
        <w:t xml:space="preserve">the consultation findings by </w:t>
      </w:r>
      <w:r w:rsidR="00CB5D18">
        <w:rPr>
          <w:rFonts w:cs="Arial"/>
          <w:bCs/>
          <w:szCs w:val="24"/>
        </w:rPr>
        <w:t>October 2017</w:t>
      </w:r>
      <w:r w:rsidRPr="008B5DC4">
        <w:rPr>
          <w:rFonts w:cs="Arial"/>
          <w:bCs/>
          <w:szCs w:val="24"/>
        </w:rPr>
        <w:t xml:space="preserve">. Details of </w:t>
      </w:r>
      <w:r w:rsidR="0000737D">
        <w:rPr>
          <w:rFonts w:cs="Arial"/>
          <w:bCs/>
          <w:szCs w:val="24"/>
        </w:rPr>
        <w:t>the decision will be published i</w:t>
      </w:r>
      <w:r w:rsidRPr="008B5DC4">
        <w:rPr>
          <w:rFonts w:cs="Arial"/>
          <w:bCs/>
          <w:szCs w:val="24"/>
        </w:rPr>
        <w:t>n the</w:t>
      </w:r>
      <w:r w:rsidR="0000737D">
        <w:rPr>
          <w:rFonts w:cs="Arial"/>
          <w:bCs/>
          <w:szCs w:val="24"/>
        </w:rPr>
        <w:t xml:space="preserve"> local media</w:t>
      </w:r>
      <w:r w:rsidRPr="008B5DC4">
        <w:rPr>
          <w:rFonts w:cs="Arial"/>
          <w:bCs/>
          <w:szCs w:val="24"/>
        </w:rPr>
        <w:t xml:space="preserve"> and further information will be available on the Council</w:t>
      </w:r>
      <w:r w:rsidR="00CB5D18">
        <w:rPr>
          <w:rFonts w:cs="Arial"/>
          <w:bCs/>
          <w:szCs w:val="24"/>
        </w:rPr>
        <w:t>’</w:t>
      </w:r>
      <w:r w:rsidRPr="008B5DC4">
        <w:rPr>
          <w:rFonts w:cs="Arial"/>
          <w:bCs/>
          <w:szCs w:val="24"/>
        </w:rPr>
        <w:t>s website.</w:t>
      </w:r>
    </w:p>
    <w:p w:rsidR="00E27E8E" w:rsidRDefault="00E27E8E" w:rsidP="00E27E8E">
      <w:pPr>
        <w:tabs>
          <w:tab w:val="left" w:pos="1635"/>
        </w:tabs>
        <w:jc w:val="both"/>
        <w:rPr>
          <w:rFonts w:cs="Arial"/>
          <w:bCs/>
          <w:color w:val="FF0000"/>
          <w:szCs w:val="24"/>
        </w:rPr>
      </w:pPr>
    </w:p>
    <w:p w:rsidR="003245BF" w:rsidRDefault="00E27E8E" w:rsidP="00E27E8E">
      <w:pPr>
        <w:tabs>
          <w:tab w:val="left" w:pos="1635"/>
        </w:tabs>
        <w:jc w:val="both"/>
        <w:outlineLvl w:val="0"/>
        <w:rPr>
          <w:rFonts w:cs="Arial"/>
          <w:bCs/>
          <w:szCs w:val="24"/>
        </w:rPr>
      </w:pPr>
      <w:r w:rsidRPr="00301DE4">
        <w:rPr>
          <w:rFonts w:cs="Arial"/>
          <w:bCs/>
          <w:szCs w:val="24"/>
        </w:rPr>
        <w:t>If you require any further clarification</w:t>
      </w:r>
      <w:r w:rsidR="00055815">
        <w:rPr>
          <w:rFonts w:cs="Arial"/>
          <w:bCs/>
          <w:szCs w:val="24"/>
        </w:rPr>
        <w:t xml:space="preserve"> or information then please</w:t>
      </w:r>
      <w:r w:rsidR="00E612EB">
        <w:rPr>
          <w:rFonts w:cs="Arial"/>
          <w:bCs/>
          <w:szCs w:val="24"/>
        </w:rPr>
        <w:t xml:space="preserve"> visit</w:t>
      </w:r>
    </w:p>
    <w:p w:rsidR="00E27E8E" w:rsidRPr="00301DE4" w:rsidRDefault="005A670E" w:rsidP="00E27E8E">
      <w:pPr>
        <w:tabs>
          <w:tab w:val="left" w:pos="1635"/>
        </w:tabs>
        <w:jc w:val="both"/>
        <w:outlineLvl w:val="0"/>
        <w:rPr>
          <w:rFonts w:cs="Arial"/>
          <w:bCs/>
          <w:szCs w:val="24"/>
        </w:rPr>
      </w:pPr>
      <w:hyperlink r:id="rId10" w:history="1">
        <w:r w:rsidR="007A73A3" w:rsidRPr="00232522">
          <w:rPr>
            <w:rStyle w:val="Hyperlink"/>
            <w:rFonts w:cs="Arial"/>
            <w:bCs/>
            <w:szCs w:val="24"/>
          </w:rPr>
          <w:t>https://www.nelincs.gov.uk/environment-and-community-safety/community-safety/anti-social-behaviour/</w:t>
        </w:r>
      </w:hyperlink>
      <w:r w:rsidR="00055815">
        <w:rPr>
          <w:rFonts w:cs="Arial"/>
          <w:bCs/>
          <w:szCs w:val="24"/>
        </w:rPr>
        <w:t xml:space="preserve"> or alternatively </w:t>
      </w:r>
      <w:r w:rsidR="00E612EB">
        <w:rPr>
          <w:rFonts w:cs="Arial"/>
          <w:bCs/>
          <w:szCs w:val="24"/>
        </w:rPr>
        <w:t>you can call telephone</w:t>
      </w:r>
      <w:r w:rsidR="00CB5D18">
        <w:rPr>
          <w:rFonts w:cs="Arial"/>
          <w:bCs/>
          <w:szCs w:val="24"/>
        </w:rPr>
        <w:t xml:space="preserve"> 01472 325939.</w:t>
      </w:r>
    </w:p>
    <w:p w:rsidR="00E27E8E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055815" w:rsidRDefault="00055815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055815" w:rsidRPr="00301DE4" w:rsidRDefault="00055815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E27E8E" w:rsidRPr="00301DE4" w:rsidRDefault="00E27E8E" w:rsidP="00E27E8E">
      <w:pPr>
        <w:tabs>
          <w:tab w:val="left" w:pos="1635"/>
        </w:tabs>
        <w:jc w:val="both"/>
        <w:outlineLvl w:val="0"/>
        <w:rPr>
          <w:rFonts w:cs="Arial"/>
          <w:bCs/>
          <w:szCs w:val="24"/>
        </w:rPr>
      </w:pPr>
      <w:r w:rsidRPr="00301DE4">
        <w:rPr>
          <w:rFonts w:cs="Arial"/>
          <w:bCs/>
          <w:szCs w:val="24"/>
        </w:rPr>
        <w:t>Kind regards</w:t>
      </w:r>
    </w:p>
    <w:p w:rsidR="00E27E8E" w:rsidRPr="00301DE4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E27E8E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055815" w:rsidRDefault="00203AF4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  <w:r>
        <w:rPr>
          <w:rFonts w:cs="Arial"/>
          <w:bCs/>
          <w:noProof/>
          <w:szCs w:val="24"/>
        </w:rPr>
        <w:drawing>
          <wp:inline distT="0" distB="0" distL="0" distR="0">
            <wp:extent cx="1105535" cy="712470"/>
            <wp:effectExtent l="0" t="0" r="0" b="0"/>
            <wp:docPr id="2" name="Picture 2" descr="spe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en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15" w:rsidRPr="00301DE4" w:rsidRDefault="00055815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E27E8E" w:rsidRPr="00301DE4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</w:p>
    <w:p w:rsidR="00E27E8E" w:rsidRPr="00301DE4" w:rsidRDefault="00E27E8E" w:rsidP="00E27E8E">
      <w:pPr>
        <w:tabs>
          <w:tab w:val="left" w:pos="1635"/>
        </w:tabs>
        <w:jc w:val="both"/>
        <w:outlineLvl w:val="0"/>
        <w:rPr>
          <w:rFonts w:cs="Arial"/>
          <w:bCs/>
          <w:szCs w:val="24"/>
        </w:rPr>
      </w:pPr>
      <w:r w:rsidRPr="00301DE4">
        <w:rPr>
          <w:rFonts w:cs="Arial"/>
          <w:bCs/>
          <w:szCs w:val="24"/>
        </w:rPr>
        <w:t>Spencer Hunt</w:t>
      </w:r>
    </w:p>
    <w:p w:rsidR="00E27E8E" w:rsidRPr="00301DE4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  <w:r w:rsidRPr="00301DE4">
        <w:rPr>
          <w:rFonts w:cs="Arial"/>
          <w:bCs/>
          <w:szCs w:val="24"/>
        </w:rPr>
        <w:t>Head of Safer &amp; Stronger Communities</w:t>
      </w:r>
    </w:p>
    <w:p w:rsidR="00E27E8E" w:rsidRPr="00301DE4" w:rsidRDefault="00E27E8E" w:rsidP="00E27E8E">
      <w:pPr>
        <w:tabs>
          <w:tab w:val="left" w:pos="1635"/>
        </w:tabs>
        <w:jc w:val="both"/>
        <w:rPr>
          <w:rFonts w:cs="Arial"/>
          <w:bCs/>
          <w:szCs w:val="24"/>
        </w:rPr>
      </w:pPr>
      <w:r w:rsidRPr="00301DE4">
        <w:rPr>
          <w:rFonts w:cs="Arial"/>
          <w:bCs/>
          <w:szCs w:val="24"/>
        </w:rPr>
        <w:t>North East Lincolnshire Council</w:t>
      </w:r>
    </w:p>
    <w:p w:rsidR="00E27E8E" w:rsidRDefault="00E27E8E" w:rsidP="00E27E8E">
      <w:pPr>
        <w:tabs>
          <w:tab w:val="left" w:pos="1635"/>
        </w:tabs>
        <w:jc w:val="both"/>
        <w:rPr>
          <w:rFonts w:cs="Arial"/>
          <w:bCs/>
          <w:color w:val="FF0000"/>
          <w:szCs w:val="24"/>
        </w:rPr>
      </w:pPr>
    </w:p>
    <w:p w:rsidR="003F767A" w:rsidRDefault="003F767A" w:rsidP="003F767A">
      <w:pPr>
        <w:outlineLvl w:val="0"/>
        <w:rPr>
          <w:rFonts w:cs="Arial"/>
          <w:b/>
          <w:szCs w:val="24"/>
          <w:u w:val="single"/>
          <w:lang w:eastAsia="en-US"/>
        </w:rPr>
      </w:pPr>
    </w:p>
    <w:p w:rsidR="001A65A5" w:rsidRDefault="001A65A5" w:rsidP="003F767A">
      <w:pPr>
        <w:outlineLvl w:val="0"/>
        <w:rPr>
          <w:rFonts w:cs="Arial"/>
          <w:b/>
          <w:szCs w:val="24"/>
        </w:rPr>
      </w:pPr>
    </w:p>
    <w:p w:rsidR="003F767A" w:rsidRDefault="003F767A" w:rsidP="00E22474">
      <w:pPr>
        <w:jc w:val="center"/>
        <w:outlineLvl w:val="0"/>
        <w:rPr>
          <w:rFonts w:cs="Arial"/>
          <w:bCs/>
          <w:szCs w:val="24"/>
        </w:rPr>
      </w:pPr>
    </w:p>
    <w:p w:rsidR="003F767A" w:rsidRDefault="003F767A" w:rsidP="00E22474">
      <w:pPr>
        <w:jc w:val="center"/>
        <w:outlineLvl w:val="0"/>
        <w:rPr>
          <w:rFonts w:cs="Arial"/>
          <w:b/>
          <w:szCs w:val="24"/>
        </w:rPr>
      </w:pPr>
    </w:p>
    <w:sectPr w:rsidR="003F767A" w:rsidSect="00D45269">
      <w:headerReference w:type="default" r:id="rId12"/>
      <w:footerReference w:type="default" r:id="rId13"/>
      <w:type w:val="continuous"/>
      <w:pgSz w:w="11907" w:h="16840" w:code="9"/>
      <w:pgMar w:top="567" w:right="1134" w:bottom="567" w:left="1134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0E" w:rsidRDefault="005A670E">
      <w:r>
        <w:separator/>
      </w:r>
    </w:p>
  </w:endnote>
  <w:endnote w:type="continuationSeparator" w:id="0">
    <w:p w:rsidR="005A670E" w:rsidRDefault="005A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EB" w:rsidRDefault="005B5A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3AF4">
      <w:rPr>
        <w:noProof/>
      </w:rPr>
      <w:t>1</w:t>
    </w:r>
    <w:r>
      <w:rPr>
        <w:noProof/>
      </w:rPr>
      <w:fldChar w:fldCharType="end"/>
    </w:r>
  </w:p>
  <w:p w:rsidR="00443A89" w:rsidRPr="003548B8" w:rsidRDefault="00443A89" w:rsidP="002F6649">
    <w:pPr>
      <w:pStyle w:val="Footer"/>
      <w:jc w:val="cen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0E" w:rsidRDefault="005A670E">
      <w:r>
        <w:separator/>
      </w:r>
    </w:p>
  </w:footnote>
  <w:footnote w:type="continuationSeparator" w:id="0">
    <w:p w:rsidR="005A670E" w:rsidRDefault="005A6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89" w:rsidRDefault="00443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3415"/>
    <w:multiLevelType w:val="hybridMultilevel"/>
    <w:tmpl w:val="4552E8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097124"/>
    <w:multiLevelType w:val="hybridMultilevel"/>
    <w:tmpl w:val="9BB4B2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30496"/>
    <w:multiLevelType w:val="multilevel"/>
    <w:tmpl w:val="2BDA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545D90"/>
    <w:multiLevelType w:val="hybridMultilevel"/>
    <w:tmpl w:val="3A124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41781"/>
    <w:multiLevelType w:val="hybridMultilevel"/>
    <w:tmpl w:val="E496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1642"/>
    <w:multiLevelType w:val="multilevel"/>
    <w:tmpl w:val="4552E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1B6CED"/>
    <w:multiLevelType w:val="hybridMultilevel"/>
    <w:tmpl w:val="45CE48AC"/>
    <w:lvl w:ilvl="0" w:tplc="1474F9DE">
      <w:start w:val="1"/>
      <w:numFmt w:val="decimal"/>
      <w:lvlText w:val="(%1)"/>
      <w:lvlJc w:val="left"/>
      <w:pPr>
        <w:ind w:left="1092" w:hanging="732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802FF"/>
    <w:multiLevelType w:val="hybridMultilevel"/>
    <w:tmpl w:val="2356DBF6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2trA0MDIyNTOzNDJQ0lEKTi0uzszPAykwrAUAJKmNySwAAAA="/>
  </w:docVars>
  <w:rsids>
    <w:rsidRoot w:val="002D7D67"/>
    <w:rsid w:val="0000737D"/>
    <w:rsid w:val="00012080"/>
    <w:rsid w:val="000208F1"/>
    <w:rsid w:val="00025B6B"/>
    <w:rsid w:val="000315B1"/>
    <w:rsid w:val="0003353E"/>
    <w:rsid w:val="000534C1"/>
    <w:rsid w:val="000544BE"/>
    <w:rsid w:val="00055815"/>
    <w:rsid w:val="000751EE"/>
    <w:rsid w:val="0009257F"/>
    <w:rsid w:val="000A0B2A"/>
    <w:rsid w:val="000B5B41"/>
    <w:rsid w:val="000C2F98"/>
    <w:rsid w:val="000E48A6"/>
    <w:rsid w:val="00106782"/>
    <w:rsid w:val="00112878"/>
    <w:rsid w:val="001164F1"/>
    <w:rsid w:val="001211B5"/>
    <w:rsid w:val="00125BDD"/>
    <w:rsid w:val="001532B7"/>
    <w:rsid w:val="00160CD2"/>
    <w:rsid w:val="00176B1E"/>
    <w:rsid w:val="00187056"/>
    <w:rsid w:val="001963AE"/>
    <w:rsid w:val="001A50C8"/>
    <w:rsid w:val="001A65A5"/>
    <w:rsid w:val="001D3E00"/>
    <w:rsid w:val="001E2C61"/>
    <w:rsid w:val="001F015C"/>
    <w:rsid w:val="001F5966"/>
    <w:rsid w:val="001F71D0"/>
    <w:rsid w:val="00203AF4"/>
    <w:rsid w:val="00206821"/>
    <w:rsid w:val="00214A98"/>
    <w:rsid w:val="00216FD5"/>
    <w:rsid w:val="00226573"/>
    <w:rsid w:val="0022687F"/>
    <w:rsid w:val="00251DB3"/>
    <w:rsid w:val="00276907"/>
    <w:rsid w:val="00280305"/>
    <w:rsid w:val="00296B2D"/>
    <w:rsid w:val="002B4D8E"/>
    <w:rsid w:val="002D723F"/>
    <w:rsid w:val="002D7D67"/>
    <w:rsid w:val="002F0A6B"/>
    <w:rsid w:val="002F1621"/>
    <w:rsid w:val="002F6649"/>
    <w:rsid w:val="00301DE4"/>
    <w:rsid w:val="00317F14"/>
    <w:rsid w:val="003245BF"/>
    <w:rsid w:val="00333917"/>
    <w:rsid w:val="003548B8"/>
    <w:rsid w:val="00361CEE"/>
    <w:rsid w:val="00367289"/>
    <w:rsid w:val="003705F5"/>
    <w:rsid w:val="00387E78"/>
    <w:rsid w:val="00392DA9"/>
    <w:rsid w:val="003949CC"/>
    <w:rsid w:val="00397599"/>
    <w:rsid w:val="003A03EA"/>
    <w:rsid w:val="003A469A"/>
    <w:rsid w:val="003B5AC2"/>
    <w:rsid w:val="003C38D1"/>
    <w:rsid w:val="003D0EAE"/>
    <w:rsid w:val="003E582B"/>
    <w:rsid w:val="003E7F71"/>
    <w:rsid w:val="003F1B7A"/>
    <w:rsid w:val="003F767A"/>
    <w:rsid w:val="00443A89"/>
    <w:rsid w:val="00495036"/>
    <w:rsid w:val="004963C6"/>
    <w:rsid w:val="00497199"/>
    <w:rsid w:val="004B2977"/>
    <w:rsid w:val="004D75BF"/>
    <w:rsid w:val="004E07FD"/>
    <w:rsid w:val="004F5D57"/>
    <w:rsid w:val="005063F8"/>
    <w:rsid w:val="00524396"/>
    <w:rsid w:val="00526789"/>
    <w:rsid w:val="00541763"/>
    <w:rsid w:val="0055344F"/>
    <w:rsid w:val="00565B89"/>
    <w:rsid w:val="00585E99"/>
    <w:rsid w:val="005A6312"/>
    <w:rsid w:val="005A670E"/>
    <w:rsid w:val="005B5AEB"/>
    <w:rsid w:val="005C271B"/>
    <w:rsid w:val="005F03F6"/>
    <w:rsid w:val="005F2696"/>
    <w:rsid w:val="00615B11"/>
    <w:rsid w:val="00615E09"/>
    <w:rsid w:val="00616D7F"/>
    <w:rsid w:val="00625747"/>
    <w:rsid w:val="0064282F"/>
    <w:rsid w:val="006552AB"/>
    <w:rsid w:val="0066118F"/>
    <w:rsid w:val="00692692"/>
    <w:rsid w:val="0069593F"/>
    <w:rsid w:val="006B18A3"/>
    <w:rsid w:val="006E1089"/>
    <w:rsid w:val="006E403E"/>
    <w:rsid w:val="006E6E94"/>
    <w:rsid w:val="006E7FDE"/>
    <w:rsid w:val="00730004"/>
    <w:rsid w:val="0073385D"/>
    <w:rsid w:val="00740E67"/>
    <w:rsid w:val="007467BB"/>
    <w:rsid w:val="00757ACD"/>
    <w:rsid w:val="007753CC"/>
    <w:rsid w:val="007833B1"/>
    <w:rsid w:val="00783A14"/>
    <w:rsid w:val="007A39BB"/>
    <w:rsid w:val="007A73A3"/>
    <w:rsid w:val="007B01FC"/>
    <w:rsid w:val="007B70F1"/>
    <w:rsid w:val="007F31F2"/>
    <w:rsid w:val="0081332D"/>
    <w:rsid w:val="008375D3"/>
    <w:rsid w:val="008412F4"/>
    <w:rsid w:val="008519E7"/>
    <w:rsid w:val="00872297"/>
    <w:rsid w:val="008800FB"/>
    <w:rsid w:val="00883F46"/>
    <w:rsid w:val="008912CC"/>
    <w:rsid w:val="0089398D"/>
    <w:rsid w:val="00895967"/>
    <w:rsid w:val="008A5784"/>
    <w:rsid w:val="008B5DC4"/>
    <w:rsid w:val="008C151C"/>
    <w:rsid w:val="008E19B1"/>
    <w:rsid w:val="0091153F"/>
    <w:rsid w:val="00915B5B"/>
    <w:rsid w:val="009405AB"/>
    <w:rsid w:val="00986E4C"/>
    <w:rsid w:val="009A33B3"/>
    <w:rsid w:val="009C5734"/>
    <w:rsid w:val="009E116D"/>
    <w:rsid w:val="009E240E"/>
    <w:rsid w:val="009F6AFE"/>
    <w:rsid w:val="00A07191"/>
    <w:rsid w:val="00A642FC"/>
    <w:rsid w:val="00A77498"/>
    <w:rsid w:val="00A80D5B"/>
    <w:rsid w:val="00A938DB"/>
    <w:rsid w:val="00AC1FC9"/>
    <w:rsid w:val="00AD0F09"/>
    <w:rsid w:val="00AD60AC"/>
    <w:rsid w:val="00AE5DB8"/>
    <w:rsid w:val="00AF2B6D"/>
    <w:rsid w:val="00B05099"/>
    <w:rsid w:val="00B2348B"/>
    <w:rsid w:val="00B26829"/>
    <w:rsid w:val="00B60144"/>
    <w:rsid w:val="00B74344"/>
    <w:rsid w:val="00B82160"/>
    <w:rsid w:val="00BA19BB"/>
    <w:rsid w:val="00BA4167"/>
    <w:rsid w:val="00BC1E26"/>
    <w:rsid w:val="00BC3E1F"/>
    <w:rsid w:val="00BE36D7"/>
    <w:rsid w:val="00BE619D"/>
    <w:rsid w:val="00C20124"/>
    <w:rsid w:val="00C556DC"/>
    <w:rsid w:val="00C62386"/>
    <w:rsid w:val="00C71E71"/>
    <w:rsid w:val="00C72D33"/>
    <w:rsid w:val="00C90725"/>
    <w:rsid w:val="00C95544"/>
    <w:rsid w:val="00CB2A4B"/>
    <w:rsid w:val="00CB5D18"/>
    <w:rsid w:val="00CD5F77"/>
    <w:rsid w:val="00CD6A04"/>
    <w:rsid w:val="00CE0887"/>
    <w:rsid w:val="00D067FD"/>
    <w:rsid w:val="00D076B9"/>
    <w:rsid w:val="00D122BD"/>
    <w:rsid w:val="00D13F9F"/>
    <w:rsid w:val="00D44FC3"/>
    <w:rsid w:val="00D45269"/>
    <w:rsid w:val="00D4531A"/>
    <w:rsid w:val="00D7237A"/>
    <w:rsid w:val="00D93EEB"/>
    <w:rsid w:val="00DB4FFE"/>
    <w:rsid w:val="00DC0067"/>
    <w:rsid w:val="00DE1896"/>
    <w:rsid w:val="00DF2013"/>
    <w:rsid w:val="00E058D3"/>
    <w:rsid w:val="00E20EBA"/>
    <w:rsid w:val="00E22474"/>
    <w:rsid w:val="00E26FCB"/>
    <w:rsid w:val="00E27E8E"/>
    <w:rsid w:val="00E612EB"/>
    <w:rsid w:val="00E64D52"/>
    <w:rsid w:val="00E7097F"/>
    <w:rsid w:val="00E72EF2"/>
    <w:rsid w:val="00E814AD"/>
    <w:rsid w:val="00EA3DF2"/>
    <w:rsid w:val="00EB17FA"/>
    <w:rsid w:val="00EB3381"/>
    <w:rsid w:val="00ED643A"/>
    <w:rsid w:val="00EE337A"/>
    <w:rsid w:val="00F05B10"/>
    <w:rsid w:val="00F138FC"/>
    <w:rsid w:val="00F2685B"/>
    <w:rsid w:val="00F30AB0"/>
    <w:rsid w:val="00F34677"/>
    <w:rsid w:val="00F47AC3"/>
    <w:rsid w:val="00F517FC"/>
    <w:rsid w:val="00F52485"/>
    <w:rsid w:val="00F63F97"/>
    <w:rsid w:val="00FA6DA2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5D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2685B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8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6649"/>
    <w:pPr>
      <w:tabs>
        <w:tab w:val="center" w:pos="4153"/>
        <w:tab w:val="right" w:pos="8306"/>
      </w:tabs>
    </w:pPr>
  </w:style>
  <w:style w:type="character" w:styleId="Hyperlink">
    <w:name w:val="Hyperlink"/>
    <w:rsid w:val="002F6649"/>
    <w:rPr>
      <w:color w:val="0000FF"/>
      <w:u w:val="single"/>
    </w:rPr>
  </w:style>
  <w:style w:type="paragraph" w:styleId="BalloonText">
    <w:name w:val="Balloon Text"/>
    <w:basedOn w:val="Normal"/>
    <w:semiHidden/>
    <w:rsid w:val="005F26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27E8E"/>
    <w:rPr>
      <w:rFonts w:ascii="Arial" w:hAnsi="Arial"/>
      <w:b/>
    </w:rPr>
  </w:style>
  <w:style w:type="character" w:customStyle="1" w:styleId="HeaderChar">
    <w:name w:val="Header Char"/>
    <w:link w:val="Header"/>
    <w:rsid w:val="00E27E8E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3E7F7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7229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CB5D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5D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2685B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8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6649"/>
    <w:pPr>
      <w:tabs>
        <w:tab w:val="center" w:pos="4153"/>
        <w:tab w:val="right" w:pos="8306"/>
      </w:tabs>
    </w:pPr>
  </w:style>
  <w:style w:type="character" w:styleId="Hyperlink">
    <w:name w:val="Hyperlink"/>
    <w:rsid w:val="002F6649"/>
    <w:rPr>
      <w:color w:val="0000FF"/>
      <w:u w:val="single"/>
    </w:rPr>
  </w:style>
  <w:style w:type="paragraph" w:styleId="BalloonText">
    <w:name w:val="Balloon Text"/>
    <w:basedOn w:val="Normal"/>
    <w:semiHidden/>
    <w:rsid w:val="005F26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27E8E"/>
    <w:rPr>
      <w:rFonts w:ascii="Arial" w:hAnsi="Arial"/>
      <w:b/>
    </w:rPr>
  </w:style>
  <w:style w:type="character" w:customStyle="1" w:styleId="HeaderChar">
    <w:name w:val="Header Char"/>
    <w:link w:val="Header"/>
    <w:rsid w:val="00E27E8E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3E7F7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7229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CB5D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8787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elincs.gov.uk/environment-and-community-safety/community-safety/anti-social-behaviou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37F9-75F8-4A0F-9D27-62F0DB9A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 JKMK/ST</vt:lpstr>
    </vt:vector>
  </TitlesOfParts>
  <Company>North East Lincolnshire Council</Company>
  <LinksUpToDate>false</LinksUpToDate>
  <CharactersWithSpaces>2812</CharactersWithSpaces>
  <SharedDoc>false</SharedDoc>
  <HLinks>
    <vt:vector size="42" baseType="variant">
      <vt:variant>
        <vt:i4>6094894</vt:i4>
      </vt:variant>
      <vt:variant>
        <vt:i4>18</vt:i4>
      </vt:variant>
      <vt:variant>
        <vt:i4>0</vt:i4>
      </vt:variant>
      <vt:variant>
        <vt:i4>5</vt:i4>
      </vt:variant>
      <vt:variant>
        <vt:lpwstr>mailto:dppo@nelincs.gov.uk</vt:lpwstr>
      </vt:variant>
      <vt:variant>
        <vt:lpwstr/>
      </vt:variant>
      <vt:variant>
        <vt:i4>6291503</vt:i4>
      </vt:variant>
      <vt:variant>
        <vt:i4>15</vt:i4>
      </vt:variant>
      <vt:variant>
        <vt:i4>0</vt:i4>
      </vt:variant>
      <vt:variant>
        <vt:i4>5</vt:i4>
      </vt:variant>
      <vt:variant>
        <vt:lpwstr>http://www.nelincs.gov.uk/DPPO</vt:lpwstr>
      </vt:variant>
      <vt:variant>
        <vt:lpwstr/>
      </vt:variant>
      <vt:variant>
        <vt:i4>6291503</vt:i4>
      </vt:variant>
      <vt:variant>
        <vt:i4>12</vt:i4>
      </vt:variant>
      <vt:variant>
        <vt:i4>0</vt:i4>
      </vt:variant>
      <vt:variant>
        <vt:i4>5</vt:i4>
      </vt:variant>
      <vt:variant>
        <vt:lpwstr>http://www.nelincs.gov.uk/DPPO</vt:lpwstr>
      </vt:variant>
      <vt:variant>
        <vt:lpwstr/>
      </vt:variant>
      <vt:variant>
        <vt:i4>6094894</vt:i4>
      </vt:variant>
      <vt:variant>
        <vt:i4>9</vt:i4>
      </vt:variant>
      <vt:variant>
        <vt:i4>0</vt:i4>
      </vt:variant>
      <vt:variant>
        <vt:i4>5</vt:i4>
      </vt:variant>
      <vt:variant>
        <vt:lpwstr>mailto:dppo@nelincs.gov.uk</vt:lpwstr>
      </vt:variant>
      <vt:variant>
        <vt:lpwstr/>
      </vt:variant>
      <vt:variant>
        <vt:i4>6750334</vt:i4>
      </vt:variant>
      <vt:variant>
        <vt:i4>6</vt:i4>
      </vt:variant>
      <vt:variant>
        <vt:i4>0</vt:i4>
      </vt:variant>
      <vt:variant>
        <vt:i4>5</vt:i4>
      </vt:variant>
      <vt:variant>
        <vt:lpwstr>http://www.nelincs.gov.uk/safercommunities/DPPO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mailto:dppo@nelincs.gov.uk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http://www.nelincs.gov.uk/DPPO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 JKMK/ST</dc:title>
  <dc:creator>Registered User</dc:creator>
  <cp:lastModifiedBy>Helen</cp:lastModifiedBy>
  <cp:revision>2</cp:revision>
  <cp:lastPrinted>2014-02-04T11:35:00Z</cp:lastPrinted>
  <dcterms:created xsi:type="dcterms:W3CDTF">2017-07-12T13:15:00Z</dcterms:created>
  <dcterms:modified xsi:type="dcterms:W3CDTF">2017-07-12T13:15:00Z</dcterms:modified>
</cp:coreProperties>
</file>